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CF" w:rsidRPr="002A7B3F" w:rsidRDefault="00FF3BCF">
      <w:pPr>
        <w:rPr>
          <w:sz w:val="24"/>
        </w:rPr>
      </w:pPr>
      <w:r w:rsidRPr="002A7B3F">
        <w:rPr>
          <w:sz w:val="24"/>
        </w:rPr>
        <w:t xml:space="preserve">A 1% rally on Friday rescued a losing week, pushing U.S. markets into positive territory for the week.  </w:t>
      </w:r>
      <w:r w:rsidRPr="002A7B3F">
        <w:rPr>
          <w:sz w:val="24"/>
        </w:rPr>
        <w:t>The Dow closed the week up 0.</w:t>
      </w:r>
      <w:r w:rsidR="00774DE5" w:rsidRPr="002A7B3F">
        <w:rPr>
          <w:sz w:val="24"/>
        </w:rPr>
        <w:t>60</w:t>
      </w:r>
      <w:r w:rsidRPr="002A7B3F">
        <w:rPr>
          <w:sz w:val="24"/>
        </w:rPr>
        <w:t>% at 18,543.53 and the S&amp;P 500 gained 0.</w:t>
      </w:r>
      <w:r w:rsidR="00774DE5" w:rsidRPr="002A7B3F">
        <w:rPr>
          <w:sz w:val="24"/>
        </w:rPr>
        <w:t>43</w:t>
      </w:r>
      <w:r w:rsidRPr="002A7B3F">
        <w:rPr>
          <w:sz w:val="24"/>
        </w:rPr>
        <w:t>% to close at 2,182.87.</w:t>
      </w:r>
    </w:p>
    <w:p w:rsidR="008237F1" w:rsidRPr="002A7B3F" w:rsidRDefault="00F822C3">
      <w:pPr>
        <w:rPr>
          <w:sz w:val="24"/>
        </w:rPr>
      </w:pPr>
      <w:r w:rsidRPr="002A7B3F">
        <w:rPr>
          <w:sz w:val="24"/>
        </w:rPr>
        <w:t>The likely reason for the late week rally was the labor department reporting</w:t>
      </w:r>
      <w:r w:rsidR="00FF3BCF" w:rsidRPr="002A7B3F">
        <w:rPr>
          <w:sz w:val="24"/>
        </w:rPr>
        <w:t xml:space="preserve"> </w:t>
      </w:r>
      <w:r w:rsidRPr="002A7B3F">
        <w:rPr>
          <w:sz w:val="24"/>
        </w:rPr>
        <w:t xml:space="preserve">the </w:t>
      </w:r>
      <w:r w:rsidR="00FF3BCF" w:rsidRPr="002A7B3F">
        <w:rPr>
          <w:sz w:val="24"/>
        </w:rPr>
        <w:t xml:space="preserve">U.S. economy added 255,000 jobs in July, well above the expected 180,000. </w:t>
      </w:r>
      <w:r w:rsidR="00E3187B" w:rsidRPr="002A7B3F">
        <w:rPr>
          <w:sz w:val="24"/>
        </w:rPr>
        <w:t xml:space="preserve">The strong July jobs report sent Treasury yields higher and made a December Federal Reserve (Fed) rate hike more likely. </w:t>
      </w:r>
      <w:r w:rsidR="00FF3BCF" w:rsidRPr="002A7B3F">
        <w:rPr>
          <w:sz w:val="24"/>
        </w:rPr>
        <w:t xml:space="preserve">The unemployment rate remained unchanged at 4.9 percent.   </w:t>
      </w:r>
    </w:p>
    <w:p w:rsidR="00FF3BCF" w:rsidRPr="002A7B3F" w:rsidRDefault="002A7B3F">
      <w:pPr>
        <w:rPr>
          <w:sz w:val="24"/>
        </w:rPr>
      </w:pPr>
      <w:r w:rsidRPr="002A7B3F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F3A6D3E" wp14:editId="7F7DD616">
            <wp:simplePos x="0" y="0"/>
            <wp:positionH relativeFrom="column">
              <wp:posOffset>954451</wp:posOffset>
            </wp:positionH>
            <wp:positionV relativeFrom="paragraph">
              <wp:posOffset>1591945</wp:posOffset>
            </wp:positionV>
            <wp:extent cx="3762375" cy="2449195"/>
            <wp:effectExtent l="19050" t="19050" r="28575" b="27305"/>
            <wp:wrapNone/>
            <wp:docPr id="1" name="Picture 1" descr="WorC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CB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491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CF" w:rsidRPr="002A7B3F">
        <w:rPr>
          <w:sz w:val="24"/>
        </w:rPr>
        <w:t xml:space="preserve">Finally, “jobs” are a constant topic on the campaign trail this year.  The Republicans decry what they view as Obama’s dismal job-creation record, while Democrats counter with claims that jobs created during Obama’s term are actually stellar.  Here (below) is a chart of jobs created since the start of each recent President’s term, going back to Jimmy Carter.  Both sides can take some comfort: Obama comes in well below Clinton and Reagan, but better than George W. Bush (who was saddled with both the 2000-2002 </w:t>
      </w:r>
      <w:proofErr w:type="gramStart"/>
      <w:r w:rsidR="00FF3BCF" w:rsidRPr="002A7B3F">
        <w:rPr>
          <w:sz w:val="24"/>
        </w:rPr>
        <w:t>recession</w:t>
      </w:r>
      <w:proofErr w:type="gramEnd"/>
      <w:r w:rsidR="00FF3BCF" w:rsidRPr="002A7B3F">
        <w:rPr>
          <w:sz w:val="24"/>
        </w:rPr>
        <w:t xml:space="preserve"> and the 2007 employment turndown).  </w:t>
      </w: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FF3BCF">
      <w:pPr>
        <w:rPr>
          <w:sz w:val="24"/>
        </w:rPr>
      </w:pPr>
    </w:p>
    <w:p w:rsidR="00FF3BCF" w:rsidRPr="002A7B3F" w:rsidRDefault="00E3187B">
      <w:pPr>
        <w:rPr>
          <w:sz w:val="24"/>
        </w:rPr>
      </w:pPr>
      <w:r w:rsidRPr="002A7B3F">
        <w:rPr>
          <w:sz w:val="24"/>
        </w:rPr>
        <w:t xml:space="preserve">A major concern </w:t>
      </w:r>
      <w:r w:rsidR="00F822C3" w:rsidRPr="002A7B3F">
        <w:rPr>
          <w:sz w:val="24"/>
        </w:rPr>
        <w:t xml:space="preserve">is volatility as we approach </w:t>
      </w:r>
      <w:r w:rsidRPr="002A7B3F">
        <w:rPr>
          <w:sz w:val="24"/>
        </w:rPr>
        <w:t xml:space="preserve">the presidential election. </w:t>
      </w:r>
      <w:r w:rsidR="00441319" w:rsidRPr="002A7B3F">
        <w:rPr>
          <w:sz w:val="24"/>
        </w:rPr>
        <w:t>A</w:t>
      </w:r>
      <w:r w:rsidR="00441319" w:rsidRPr="002A7B3F">
        <w:rPr>
          <w:sz w:val="24"/>
        </w:rPr>
        <w:t>ccording to EPFR Global data</w:t>
      </w:r>
      <w:r w:rsidR="00441319" w:rsidRPr="002A7B3F">
        <w:rPr>
          <w:sz w:val="24"/>
        </w:rPr>
        <w:t>, i</w:t>
      </w:r>
      <w:r w:rsidRPr="002A7B3F">
        <w:rPr>
          <w:sz w:val="24"/>
        </w:rPr>
        <w:t xml:space="preserve">nvestors </w:t>
      </w:r>
      <w:r w:rsidR="00441319" w:rsidRPr="002A7B3F">
        <w:rPr>
          <w:sz w:val="24"/>
        </w:rPr>
        <w:t xml:space="preserve">have pulled </w:t>
      </w:r>
      <w:r w:rsidRPr="002A7B3F">
        <w:rPr>
          <w:sz w:val="24"/>
        </w:rPr>
        <w:t xml:space="preserve">money from U.S. equities in the month before Election Day </w:t>
      </w:r>
      <w:r w:rsidR="00441319" w:rsidRPr="002A7B3F">
        <w:rPr>
          <w:sz w:val="24"/>
        </w:rPr>
        <w:t>for the</w:t>
      </w:r>
      <w:r w:rsidRPr="002A7B3F">
        <w:rPr>
          <w:sz w:val="24"/>
        </w:rPr>
        <w:t xml:space="preserve"> past four presidential elections</w:t>
      </w:r>
      <w:r w:rsidR="00441319" w:rsidRPr="002A7B3F">
        <w:rPr>
          <w:sz w:val="24"/>
        </w:rPr>
        <w:t>. Historically, this uncertainty increases if a new party is anticipated to take over.</w:t>
      </w:r>
    </w:p>
    <w:p w:rsidR="00FF3BCF" w:rsidRDefault="002A7B3F">
      <w:pPr>
        <w:rPr>
          <w:sz w:val="24"/>
        </w:rPr>
      </w:pPr>
      <w:r w:rsidRPr="002A7B3F">
        <w:rPr>
          <w:sz w:val="24"/>
        </w:rPr>
        <w:t>Most of the major indexes reached new highs over the past week, but technical indicators point to overbought conditions. This week we will be closely watching a number of key economic events, including jobless claims on August 11</w:t>
      </w:r>
      <w:r w:rsidRPr="002A7B3F">
        <w:rPr>
          <w:sz w:val="24"/>
          <w:vertAlign w:val="superscript"/>
        </w:rPr>
        <w:t>th</w:t>
      </w:r>
      <w:r w:rsidRPr="002A7B3F">
        <w:rPr>
          <w:sz w:val="24"/>
        </w:rPr>
        <w:t xml:space="preserve"> and retail sales on August 12</w:t>
      </w:r>
      <w:r w:rsidRPr="002A7B3F">
        <w:rPr>
          <w:sz w:val="24"/>
          <w:vertAlign w:val="superscript"/>
        </w:rPr>
        <w:t>th</w:t>
      </w:r>
      <w:r w:rsidRPr="002A7B3F">
        <w:rPr>
          <w:sz w:val="24"/>
        </w:rPr>
        <w:t xml:space="preserve">. </w:t>
      </w:r>
    </w:p>
    <w:p w:rsidR="00C93E0D" w:rsidRDefault="00C93E0D" w:rsidP="00C93E0D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Regards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Jeremiah Patterson, CFP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</w:p>
    <w:p w:rsidR="00C93E0D" w:rsidRDefault="00C93E0D" w:rsidP="00C93E0D">
      <w:pPr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Copelin Financial Advisors</w:t>
      </w:r>
      <w:r>
        <w:rPr>
          <w:rFonts w:ascii="Arial" w:hAnsi="Arial" w:cs="Arial"/>
          <w:color w:val="000000"/>
          <w:sz w:val="20"/>
          <w:szCs w:val="20"/>
        </w:rPr>
        <w:br/>
        <w:t>514 Brooks Street</w:t>
      </w:r>
      <w:r>
        <w:rPr>
          <w:rFonts w:ascii="Arial" w:hAnsi="Arial" w:cs="Arial"/>
          <w:color w:val="000000"/>
          <w:sz w:val="20"/>
          <w:szCs w:val="20"/>
        </w:rPr>
        <w:br/>
        <w:t>Sugar Land, TX 77478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Phone: 281 240-2902</w:t>
      </w:r>
      <w:r>
        <w:rPr>
          <w:rFonts w:ascii="Arial" w:hAnsi="Arial" w:cs="Arial"/>
          <w:color w:val="000000"/>
          <w:sz w:val="20"/>
          <w:szCs w:val="20"/>
        </w:rPr>
        <w:br/>
        <w:t>Fax: 281 240-2856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jeremiah@copelinfinancial.com</w:t>
        </w:r>
      </w:hyperlink>
    </w:p>
    <w:p w:rsidR="00C93E0D" w:rsidRDefault="00C93E0D" w:rsidP="00C93E0D">
      <w:pPr>
        <w:autoSpaceDE w:val="0"/>
        <w:autoSpaceDN w:val="0"/>
        <w:rPr>
          <w:rFonts w:ascii="Calibri" w:hAnsi="Calibri"/>
          <w:color w:val="1F497D"/>
          <w:sz w:val="16"/>
          <w:szCs w:val="16"/>
        </w:rPr>
      </w:pPr>
      <w:r>
        <w:rPr>
          <w:rFonts w:ascii="Calibri" w:hAnsi="Calibri"/>
          <w:color w:val="002060"/>
          <w:sz w:val="16"/>
          <w:szCs w:val="16"/>
        </w:rPr>
        <w:t xml:space="preserve">Securities offered through </w:t>
      </w:r>
      <w:proofErr w:type="spellStart"/>
      <w:r>
        <w:rPr>
          <w:rFonts w:ascii="Calibri" w:hAnsi="Calibri"/>
          <w:color w:val="002060"/>
          <w:sz w:val="16"/>
          <w:szCs w:val="16"/>
        </w:rPr>
        <w:t>ProEquities</w:t>
      </w:r>
      <w:proofErr w:type="spellEnd"/>
      <w:r>
        <w:rPr>
          <w:rFonts w:ascii="Calibri" w:hAnsi="Calibri"/>
          <w:color w:val="002060"/>
          <w:sz w:val="16"/>
          <w:szCs w:val="16"/>
        </w:rPr>
        <w:t xml:space="preserve">, Inc., a Registered Broker-Dealer and Member FINRA &amp; SIPC Advisory Services offered through Harvest Investment Services, </w:t>
      </w:r>
      <w:proofErr w:type="gramStart"/>
      <w:r>
        <w:rPr>
          <w:rFonts w:ascii="Calibri" w:hAnsi="Calibri"/>
          <w:color w:val="002060"/>
          <w:sz w:val="16"/>
          <w:szCs w:val="16"/>
        </w:rPr>
        <w:t>LLC.,</w:t>
      </w:r>
      <w:proofErr w:type="gramEnd"/>
      <w:r>
        <w:rPr>
          <w:rFonts w:ascii="Calibri" w:hAnsi="Calibri"/>
          <w:color w:val="002060"/>
          <w:sz w:val="16"/>
          <w:szCs w:val="16"/>
        </w:rPr>
        <w:t xml:space="preserve"> a Registered Investment Advisor Copelin Financial Advisors, </w:t>
      </w:r>
      <w:proofErr w:type="spellStart"/>
      <w:r>
        <w:rPr>
          <w:rFonts w:ascii="Calibri" w:hAnsi="Calibri"/>
          <w:color w:val="002060"/>
          <w:sz w:val="16"/>
          <w:szCs w:val="16"/>
        </w:rPr>
        <w:t>Inc</w:t>
      </w:r>
      <w:proofErr w:type="spellEnd"/>
      <w:r>
        <w:rPr>
          <w:rFonts w:ascii="Calibri" w:hAnsi="Calibri"/>
          <w:color w:val="002060"/>
          <w:sz w:val="16"/>
          <w:szCs w:val="16"/>
        </w:rPr>
        <w:t xml:space="preserve"> and Harvest Investment Services, LLC are independent of </w:t>
      </w:r>
      <w:proofErr w:type="spellStart"/>
      <w:r>
        <w:rPr>
          <w:rFonts w:ascii="Calibri" w:hAnsi="Calibri"/>
          <w:color w:val="002060"/>
          <w:sz w:val="16"/>
          <w:szCs w:val="16"/>
        </w:rPr>
        <w:t>ProEquities</w:t>
      </w:r>
      <w:proofErr w:type="spellEnd"/>
      <w:r>
        <w:rPr>
          <w:rFonts w:ascii="Calibri" w:hAnsi="Calibri"/>
          <w:color w:val="002060"/>
          <w:sz w:val="16"/>
          <w:szCs w:val="16"/>
        </w:rPr>
        <w:t>, Inc.</w:t>
      </w:r>
    </w:p>
    <w:p w:rsidR="00C93E0D" w:rsidRPr="002A7B3F" w:rsidRDefault="00C93E0D">
      <w:pPr>
        <w:rPr>
          <w:sz w:val="24"/>
        </w:rPr>
      </w:pPr>
      <w:bookmarkStart w:id="0" w:name="_GoBack"/>
      <w:bookmarkEnd w:id="0"/>
    </w:p>
    <w:sectPr w:rsidR="00C93E0D" w:rsidRPr="002A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65"/>
    <w:rsid w:val="002A7B3F"/>
    <w:rsid w:val="00401D65"/>
    <w:rsid w:val="00441319"/>
    <w:rsid w:val="00774DE5"/>
    <w:rsid w:val="008237F1"/>
    <w:rsid w:val="00C93E0D"/>
    <w:rsid w:val="00E3187B"/>
    <w:rsid w:val="00F822C3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emiah@copelinfinanci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Copelin Financial Advisors, Inc.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Patterson</dc:creator>
  <cp:lastModifiedBy>Jeremiah Patterson</cp:lastModifiedBy>
  <cp:revision>3</cp:revision>
  <cp:lastPrinted>2016-08-08T18:26:00Z</cp:lastPrinted>
  <dcterms:created xsi:type="dcterms:W3CDTF">2016-08-08T16:41:00Z</dcterms:created>
  <dcterms:modified xsi:type="dcterms:W3CDTF">2016-08-08T19:39:00Z</dcterms:modified>
</cp:coreProperties>
</file>